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ind w:firstLine="883" w:firstLineChars="200"/>
        <w:jc w:val="center"/>
        <w:rPr>
          <w:rFonts w:hint="eastAsia"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>怀化市</w:t>
      </w:r>
      <w:r>
        <w:rPr>
          <w:rFonts w:hint="eastAsia" w:ascii="宋体" w:hAnsi="宋体"/>
          <w:b/>
          <w:sz w:val="44"/>
          <w:szCs w:val="44"/>
          <w:lang w:eastAsia="zh-CN"/>
        </w:rPr>
        <w:t>贺家田小学</w:t>
      </w:r>
      <w:r>
        <w:rPr>
          <w:rFonts w:hint="eastAsia" w:ascii="宋体" w:hAnsi="宋体"/>
          <w:b/>
          <w:sz w:val="44"/>
          <w:szCs w:val="44"/>
        </w:rPr>
        <w:t>2021年度部门预算  公开说明</w:t>
      </w:r>
    </w:p>
    <w:p>
      <w:pPr>
        <w:spacing w:line="560" w:lineRule="exact"/>
        <w:jc w:val="center"/>
        <w:rPr>
          <w:rFonts w:hint="eastAsia" w:ascii="楷体_GB2312" w:hAnsi="宋体" w:eastAsia="楷体_GB2312"/>
          <w:b/>
          <w:sz w:val="32"/>
          <w:szCs w:val="32"/>
        </w:rPr>
      </w:pPr>
    </w:p>
    <w:p>
      <w:pPr>
        <w:widowControl/>
        <w:spacing w:line="560" w:lineRule="exact"/>
        <w:ind w:firstLine="627" w:firstLineChars="196"/>
        <w:jc w:val="left"/>
        <w:rPr>
          <w:rFonts w:hint="eastAsia" w:ascii="黑体" w:eastAsia="黑体"/>
          <w:sz w:val="32"/>
          <w:szCs w:val="32"/>
        </w:rPr>
      </w:pPr>
      <w:r>
        <w:rPr>
          <w:rFonts w:hint="eastAsia" w:eastAsia="黑体"/>
          <w:bCs/>
          <w:kern w:val="0"/>
          <w:sz w:val="32"/>
          <w:szCs w:val="32"/>
        </w:rPr>
        <w:t>目  录：</w:t>
      </w:r>
    </w:p>
    <w:p>
      <w:pPr>
        <w:spacing w:line="560" w:lineRule="exact"/>
        <w:ind w:firstLine="640" w:firstLineChars="200"/>
        <w:jc w:val="left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一、部门职责及机构设置情况</w:t>
      </w:r>
    </w:p>
    <w:p>
      <w:pPr>
        <w:spacing w:line="560" w:lineRule="exact"/>
        <w:ind w:firstLine="640" w:firstLineChars="20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（一）部门职责</w:t>
      </w:r>
    </w:p>
    <w:p>
      <w:pPr>
        <w:spacing w:line="560" w:lineRule="exact"/>
        <w:ind w:firstLine="640" w:firstLineChars="20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（二）机构设置情况</w:t>
      </w:r>
    </w:p>
    <w:p>
      <w:pPr>
        <w:spacing w:line="560" w:lineRule="exact"/>
        <w:ind w:firstLine="640" w:firstLineChars="200"/>
        <w:jc w:val="left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二、部门预算安排情况说明</w:t>
      </w:r>
    </w:p>
    <w:p>
      <w:pPr>
        <w:spacing w:line="560" w:lineRule="exact"/>
        <w:ind w:firstLine="640" w:firstLineChars="20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（一）部门预算基本情况</w:t>
      </w:r>
    </w:p>
    <w:p>
      <w:pPr>
        <w:spacing w:line="560" w:lineRule="exact"/>
        <w:ind w:firstLine="640" w:firstLineChars="20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1．年度收支预算情况</w:t>
      </w:r>
    </w:p>
    <w:p>
      <w:pPr>
        <w:spacing w:line="560" w:lineRule="exact"/>
        <w:ind w:firstLine="640" w:firstLineChars="20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（1）收入预算</w:t>
      </w:r>
    </w:p>
    <w:p>
      <w:pPr>
        <w:spacing w:line="560" w:lineRule="exact"/>
        <w:ind w:firstLine="640" w:firstLineChars="20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（2）支出预算</w:t>
      </w:r>
    </w:p>
    <w:p>
      <w:pPr>
        <w:spacing w:line="560" w:lineRule="exact"/>
        <w:ind w:firstLine="640" w:firstLineChars="20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2．年度一般公共预算财政拨款支出情况</w:t>
      </w:r>
    </w:p>
    <w:p>
      <w:pPr>
        <w:spacing w:line="560" w:lineRule="exact"/>
        <w:ind w:firstLine="640" w:firstLineChars="20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（1）基本支出</w:t>
      </w:r>
    </w:p>
    <w:p>
      <w:pPr>
        <w:spacing w:line="560" w:lineRule="exact"/>
        <w:ind w:firstLine="640" w:firstLineChars="20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（2）项目支出</w:t>
      </w:r>
    </w:p>
    <w:p>
      <w:pPr>
        <w:spacing w:line="560" w:lineRule="exact"/>
        <w:ind w:firstLine="640" w:firstLineChars="20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3.政府性基金支出</w:t>
      </w:r>
    </w:p>
    <w:p>
      <w:pPr>
        <w:spacing w:line="560" w:lineRule="exact"/>
        <w:ind w:firstLine="640" w:firstLineChars="20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（二）年度“三公”经费预算情况</w:t>
      </w:r>
    </w:p>
    <w:p>
      <w:pPr>
        <w:spacing w:line="560" w:lineRule="exact"/>
        <w:ind w:firstLine="640" w:firstLineChars="20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（三）年度机关运行经费预算情况</w:t>
      </w:r>
    </w:p>
    <w:p>
      <w:pPr>
        <w:spacing w:line="560" w:lineRule="exact"/>
        <w:ind w:firstLine="640" w:firstLineChars="20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（四）年度政府采购预算情况</w:t>
      </w:r>
    </w:p>
    <w:p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（五）</w:t>
      </w:r>
      <w:r>
        <w:rPr>
          <w:rFonts w:hint="eastAsia" w:eastAsia="仿宋_GB2312"/>
          <w:sz w:val="32"/>
          <w:szCs w:val="32"/>
        </w:rPr>
        <w:t>国有资产占用情况</w:t>
      </w:r>
    </w:p>
    <w:p>
      <w:pPr>
        <w:widowControl/>
        <w:spacing w:line="560" w:lineRule="exact"/>
        <w:ind w:firstLine="640" w:firstLineChars="200"/>
        <w:jc w:val="left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（六）预算绩效管理情况</w:t>
      </w:r>
    </w:p>
    <w:p>
      <w:pPr>
        <w:spacing w:line="560" w:lineRule="exact"/>
        <w:ind w:firstLine="640" w:firstLineChars="200"/>
        <w:jc w:val="left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三、专业名词解释</w:t>
      </w:r>
      <w:r>
        <w:rPr>
          <w:rFonts w:hint="eastAsia" w:ascii="宋体" w:hAnsi="宋体"/>
          <w:b/>
          <w:sz w:val="44"/>
          <w:szCs w:val="44"/>
        </w:rPr>
        <w:t xml:space="preserve"> </w:t>
      </w:r>
      <w:r>
        <w:rPr>
          <w:rFonts w:hint="eastAsia" w:ascii="黑体" w:eastAsia="黑体"/>
          <w:sz w:val="32"/>
          <w:szCs w:val="32"/>
        </w:rPr>
        <w:t xml:space="preserve"> </w:t>
      </w:r>
    </w:p>
    <w:p>
      <w:pPr>
        <w:spacing w:line="480" w:lineRule="auto"/>
        <w:ind w:firstLine="640" w:firstLineChars="200"/>
        <w:jc w:val="left"/>
        <w:rPr>
          <w:rFonts w:hint="eastAsia" w:ascii="黑体" w:eastAsia="黑体"/>
          <w:sz w:val="32"/>
          <w:szCs w:val="32"/>
        </w:rPr>
      </w:pPr>
    </w:p>
    <w:p>
      <w:pPr>
        <w:spacing w:line="480" w:lineRule="auto"/>
        <w:ind w:firstLine="643" w:firstLineChars="200"/>
        <w:jc w:val="left"/>
        <w:rPr>
          <w:rFonts w:hint="eastAsia" w:ascii="黑体" w:eastAsia="黑体"/>
          <w:b/>
          <w:sz w:val="32"/>
          <w:szCs w:val="32"/>
        </w:rPr>
      </w:pPr>
    </w:p>
    <w:p>
      <w:pPr>
        <w:spacing w:line="560" w:lineRule="exact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一、部门职责及机构设置情况</w:t>
      </w:r>
    </w:p>
    <w:p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（一）部门职责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怀化市</w:t>
      </w:r>
      <w:r>
        <w:rPr>
          <w:rFonts w:hint="eastAsia" w:ascii="仿宋" w:hAnsi="仿宋" w:eastAsia="仿宋"/>
          <w:sz w:val="32"/>
          <w:szCs w:val="32"/>
          <w:lang w:eastAsia="zh-CN"/>
        </w:rPr>
        <w:t>贺家田小学</w:t>
      </w:r>
      <w:r>
        <w:rPr>
          <w:rFonts w:hint="eastAsia" w:ascii="仿宋" w:hAnsi="仿宋" w:eastAsia="仿宋"/>
          <w:sz w:val="32"/>
          <w:szCs w:val="32"/>
        </w:rPr>
        <w:t>属全额拨款事业单位，从事小学教育教学工作，现有教职工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19</w:t>
      </w:r>
      <w:r>
        <w:rPr>
          <w:rFonts w:hint="eastAsia" w:ascii="仿宋" w:hAnsi="仿宋" w:eastAsia="仿宋"/>
          <w:sz w:val="32"/>
          <w:szCs w:val="32"/>
        </w:rPr>
        <w:t>人，退休教职工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/>
          <w:sz w:val="32"/>
          <w:szCs w:val="32"/>
        </w:rPr>
        <w:t>人。</w:t>
      </w:r>
    </w:p>
    <w:p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（二）机构设置情况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怀化市</w:t>
      </w:r>
      <w:r>
        <w:rPr>
          <w:rFonts w:hint="eastAsia" w:ascii="仿宋" w:hAnsi="仿宋" w:eastAsia="仿宋"/>
          <w:sz w:val="32"/>
          <w:szCs w:val="32"/>
          <w:lang w:eastAsia="zh-CN"/>
        </w:rPr>
        <w:t>贺家田小学</w:t>
      </w:r>
      <w:r>
        <w:rPr>
          <w:rFonts w:hint="eastAsia" w:ascii="仿宋" w:hAnsi="仿宋" w:eastAsia="仿宋"/>
          <w:sz w:val="32"/>
          <w:szCs w:val="32"/>
        </w:rPr>
        <w:t>作为一级部门预算单位，内设8个功能室：校长室、教导处、教研室、总务处、办公室、工会、德育处、财务室。</w:t>
      </w:r>
    </w:p>
    <w:p>
      <w:pPr>
        <w:spacing w:line="560" w:lineRule="exact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二、部门预算安排情况说明</w:t>
      </w:r>
    </w:p>
    <w:p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（一）介绍部门预算基本情况</w:t>
      </w:r>
    </w:p>
    <w:p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1．年度收支预算情况。</w:t>
      </w:r>
    </w:p>
    <w:p>
      <w:pPr>
        <w:spacing w:line="560" w:lineRule="exac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2021年部门预算包括局本级和所属二级单位预算在内的汇总情况。</w:t>
      </w:r>
    </w:p>
    <w:p>
      <w:pPr>
        <w:numPr>
          <w:ilvl w:val="0"/>
          <w:numId w:val="1"/>
        </w:numPr>
        <w:spacing w:line="560" w:lineRule="exac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收入预算，2021年年初预算数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288.5</w:t>
      </w:r>
      <w:r>
        <w:rPr>
          <w:rFonts w:hint="eastAsia" w:ascii="仿宋_GB2312" w:eastAsia="仿宋_GB2312"/>
          <w:sz w:val="32"/>
          <w:szCs w:val="32"/>
        </w:rPr>
        <w:t>万元，其中，</w:t>
      </w:r>
    </w:p>
    <w:p>
      <w:pPr>
        <w:spacing w:line="560" w:lineRule="exac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一般公共预算拨款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282.9</w:t>
      </w:r>
      <w:r>
        <w:rPr>
          <w:rFonts w:hint="eastAsia" w:ascii="仿宋_GB2312" w:eastAsia="仿宋_GB2312"/>
          <w:sz w:val="32"/>
          <w:szCs w:val="32"/>
        </w:rPr>
        <w:t>万元，政府性基金预算拨款0万元，纳入财政专户管理的非税收入拨款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5.6</w:t>
      </w:r>
      <w:r>
        <w:rPr>
          <w:rFonts w:hint="eastAsia" w:ascii="仿宋_GB2312" w:eastAsia="仿宋_GB2312"/>
          <w:sz w:val="32"/>
          <w:szCs w:val="32"/>
        </w:rPr>
        <w:t>万元，国有资本经营预算拨款0万元，事业收入拨款0万元。收入较去年减少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40</w:t>
      </w:r>
      <w:r>
        <w:rPr>
          <w:rFonts w:hint="eastAsia" w:ascii="仿宋" w:hAnsi="仿宋" w:eastAsia="仿宋"/>
          <w:sz w:val="32"/>
          <w:szCs w:val="32"/>
        </w:rPr>
        <w:t>万元，主要原因是</w:t>
      </w:r>
      <w:r>
        <w:rPr>
          <w:rFonts w:hint="eastAsia" w:ascii="仿宋" w:hAnsi="仿宋" w:eastAsia="仿宋"/>
          <w:sz w:val="32"/>
          <w:szCs w:val="32"/>
          <w:lang w:eastAsia="zh-CN"/>
        </w:rPr>
        <w:t>学生人数、教师人数</w:t>
      </w:r>
      <w:r>
        <w:rPr>
          <w:rFonts w:hint="eastAsia" w:ascii="仿宋" w:hAnsi="仿宋" w:eastAsia="仿宋"/>
          <w:sz w:val="32"/>
          <w:szCs w:val="32"/>
        </w:rPr>
        <w:t>减少。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②支出预算，2021年年初预算数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288.5</w:t>
      </w:r>
      <w:r>
        <w:rPr>
          <w:rFonts w:hint="eastAsia" w:ascii="仿宋_GB2312" w:eastAsia="仿宋_GB2312"/>
          <w:sz w:val="32"/>
          <w:szCs w:val="32"/>
        </w:rPr>
        <w:t>万元，其中，</w:t>
      </w:r>
      <w:r>
        <w:rPr>
          <w:rFonts w:hint="eastAsia" w:ascii="仿宋" w:hAnsi="仿宋" w:eastAsia="仿宋"/>
          <w:sz w:val="32"/>
          <w:szCs w:val="32"/>
        </w:rPr>
        <w:t>人员支出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247.4</w:t>
      </w:r>
      <w:r>
        <w:rPr>
          <w:rFonts w:hint="eastAsia" w:ascii="仿宋" w:hAnsi="仿宋" w:eastAsia="仿宋"/>
          <w:sz w:val="32"/>
          <w:szCs w:val="32"/>
        </w:rPr>
        <w:t>万元，公用支出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13</w:t>
      </w:r>
      <w:r>
        <w:rPr>
          <w:rFonts w:hint="eastAsia" w:ascii="仿宋" w:hAnsi="仿宋" w:eastAsia="仿宋"/>
          <w:sz w:val="32"/>
          <w:szCs w:val="32"/>
        </w:rPr>
        <w:t>万元，项目支出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28.1</w:t>
      </w:r>
      <w:r>
        <w:rPr>
          <w:rFonts w:hint="eastAsia" w:ascii="仿宋" w:hAnsi="仿宋" w:eastAsia="仿宋"/>
          <w:sz w:val="32"/>
          <w:szCs w:val="32"/>
        </w:rPr>
        <w:t>万元。预算支出较去年减少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40</w:t>
      </w:r>
      <w:r>
        <w:rPr>
          <w:rFonts w:hint="eastAsia" w:ascii="仿宋" w:hAnsi="仿宋" w:eastAsia="仿宋"/>
          <w:sz w:val="32"/>
          <w:szCs w:val="32"/>
        </w:rPr>
        <w:t>万元，主要原因是</w:t>
      </w:r>
      <w:r>
        <w:rPr>
          <w:rFonts w:hint="eastAsia" w:ascii="仿宋" w:hAnsi="仿宋" w:eastAsia="仿宋"/>
          <w:sz w:val="32"/>
          <w:szCs w:val="32"/>
          <w:lang w:eastAsia="zh-CN"/>
        </w:rPr>
        <w:t>学生人数、教师人数</w:t>
      </w:r>
      <w:r>
        <w:rPr>
          <w:rFonts w:hint="eastAsia" w:ascii="仿宋" w:hAnsi="仿宋" w:eastAsia="仿宋"/>
          <w:sz w:val="32"/>
          <w:szCs w:val="32"/>
        </w:rPr>
        <w:t>减少。</w:t>
      </w:r>
    </w:p>
    <w:p>
      <w:pPr>
        <w:spacing w:line="560" w:lineRule="exac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2．年度一般公共预算财政拨款支出情况</w:t>
      </w:r>
    </w:p>
    <w:p>
      <w:pPr>
        <w:spacing w:line="560" w:lineRule="exac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①基本支出：2021年年初预算数为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260.5</w:t>
      </w:r>
      <w:r>
        <w:rPr>
          <w:rFonts w:hint="eastAsia" w:ascii="仿宋_GB2312" w:eastAsia="仿宋_GB2312"/>
          <w:sz w:val="32"/>
          <w:szCs w:val="32"/>
        </w:rPr>
        <w:t>万元，是指为保障单位机构正常运转、完成日常工作任务而发生的各项支出，包括用于基本工资、津贴补贴等人员经费以及办公费、印刷费、水电费、物业管理费等日常公用经费；</w:t>
      </w:r>
    </w:p>
    <w:p>
      <w:pPr>
        <w:spacing w:line="560" w:lineRule="exact"/>
        <w:ind w:firstLine="64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②项目支出：2021年年初预算数为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28.058</w:t>
      </w:r>
      <w:r>
        <w:rPr>
          <w:rFonts w:hint="eastAsia" w:ascii="仿宋_GB2312" w:eastAsia="仿宋_GB2312"/>
          <w:sz w:val="32"/>
          <w:szCs w:val="32"/>
        </w:rPr>
        <w:t>万元，是指单位为完成特定行政工作任务或事业发展目标而发生的支出，包括有产业发展引导类0万元、专项业务费用类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eastAsia="仿宋_GB2312"/>
          <w:sz w:val="32"/>
          <w:szCs w:val="32"/>
        </w:rPr>
        <w:t>万元、基本建设类0万元、对个人和家庭补助类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28.058</w:t>
      </w:r>
      <w:r>
        <w:rPr>
          <w:rFonts w:hint="eastAsia" w:ascii="仿宋_GB2312" w:eastAsia="仿宋_GB2312"/>
          <w:sz w:val="32"/>
          <w:szCs w:val="32"/>
        </w:rPr>
        <w:t>万元。</w:t>
      </w:r>
    </w:p>
    <w:p>
      <w:pPr>
        <w:spacing w:line="480" w:lineRule="auto"/>
        <w:ind w:firstLine="640" w:firstLineChars="20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3.政府性基金支出</w:t>
      </w:r>
    </w:p>
    <w:p>
      <w:pPr>
        <w:widowControl/>
        <w:spacing w:line="500" w:lineRule="auto"/>
        <w:ind w:firstLine="640" w:firstLineChars="20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2021年无政府性基金支出。</w:t>
      </w:r>
    </w:p>
    <w:p>
      <w:pPr>
        <w:spacing w:line="560" w:lineRule="exact"/>
        <w:ind w:firstLine="480" w:firstLineChars="15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（二）年度“三公”经费预算情况</w:t>
      </w:r>
    </w:p>
    <w:p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2021年“三公”经费预算数为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eastAsia="仿宋_GB2312"/>
          <w:sz w:val="32"/>
          <w:szCs w:val="32"/>
        </w:rPr>
        <w:t>万元，其中，公务接待费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eastAsia="仿宋_GB2312"/>
          <w:sz w:val="32"/>
          <w:szCs w:val="32"/>
        </w:rPr>
        <w:t>万元，公务用车购置及运行费0万元（其中：公务用车购置费是0万元，公务用车运行费0万元），因公出国（境）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>费0万元。2021年“三公”经费预算比2020年预算数减少，主要原因是本单位例行节约，严格控制机关运行经费。</w:t>
      </w:r>
    </w:p>
    <w:p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（三）年度机关运行经费预算情况</w:t>
      </w:r>
    </w:p>
    <w:p>
      <w:pPr>
        <w:ind w:firstLine="640" w:firstLineChars="200"/>
        <w:rPr>
          <w:rFonts w:hint="eastAsia" w:ascii="仿宋" w:hAnsi="仿宋" w:eastAsia="仿宋_GB2312"/>
          <w:color w:val="auto"/>
          <w:sz w:val="32"/>
          <w:szCs w:val="32"/>
          <w:lang w:eastAsia="zh-CN"/>
        </w:rPr>
      </w:pPr>
      <w:r>
        <w:rPr>
          <w:rFonts w:hint="eastAsia" w:ascii="仿宋_GB2312" w:eastAsia="仿宋_GB2312"/>
          <w:color w:val="auto"/>
          <w:sz w:val="32"/>
          <w:szCs w:val="32"/>
        </w:rPr>
        <w:t>2021年怀化市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贺家田小学</w:t>
      </w:r>
      <w:r>
        <w:rPr>
          <w:rFonts w:hint="eastAsia" w:ascii="仿宋_GB2312" w:eastAsia="仿宋_GB2312"/>
          <w:color w:val="auto"/>
          <w:sz w:val="32"/>
          <w:szCs w:val="32"/>
        </w:rPr>
        <w:t>机关运行经费一般公共预算拨款日常公用经费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13.04</w:t>
      </w:r>
      <w:r>
        <w:rPr>
          <w:rFonts w:hint="eastAsia" w:ascii="仿宋_GB2312" w:eastAsia="仿宋_GB2312"/>
          <w:color w:val="auto"/>
          <w:sz w:val="32"/>
          <w:szCs w:val="32"/>
        </w:rPr>
        <w:t>万元（</w:t>
      </w:r>
      <w:r>
        <w:rPr>
          <w:rFonts w:hint="eastAsia" w:ascii="仿宋" w:hAnsi="仿宋" w:eastAsia="仿宋"/>
          <w:color w:val="auto"/>
          <w:sz w:val="32"/>
          <w:szCs w:val="32"/>
        </w:rPr>
        <w:t>办公费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1.1</w:t>
      </w:r>
      <w:r>
        <w:rPr>
          <w:rFonts w:hint="eastAsia" w:ascii="仿宋" w:hAnsi="仿宋" w:eastAsia="仿宋"/>
          <w:color w:val="auto"/>
          <w:sz w:val="32"/>
          <w:szCs w:val="32"/>
        </w:rPr>
        <w:t>万元、水电费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2.2</w:t>
      </w:r>
      <w:r>
        <w:rPr>
          <w:rFonts w:hint="eastAsia" w:ascii="仿宋" w:hAnsi="仿宋" w:eastAsia="仿宋"/>
          <w:color w:val="auto"/>
          <w:sz w:val="32"/>
          <w:szCs w:val="32"/>
        </w:rPr>
        <w:t>万元、差旅费2万元，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培训费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万元</w:t>
      </w:r>
      <w:r>
        <w:rPr>
          <w:rFonts w:hint="eastAsia" w:ascii="仿宋" w:hAnsi="仿宋" w:eastAsia="仿宋"/>
          <w:color w:val="auto"/>
          <w:sz w:val="32"/>
          <w:szCs w:val="32"/>
        </w:rPr>
        <w:t>，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工会经费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3.1万元，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福利费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3.2</w:t>
      </w:r>
      <w:r>
        <w:rPr>
          <w:rFonts w:hint="eastAsia" w:ascii="仿宋" w:hAnsi="仿宋" w:eastAsia="仿宋"/>
          <w:color w:val="auto"/>
          <w:sz w:val="32"/>
          <w:szCs w:val="32"/>
        </w:rPr>
        <w:t>，其他商品和服务支出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0.2</w:t>
      </w:r>
      <w:r>
        <w:rPr>
          <w:rFonts w:hint="eastAsia" w:ascii="仿宋" w:hAnsi="仿宋" w:eastAsia="仿宋"/>
          <w:color w:val="auto"/>
          <w:sz w:val="32"/>
          <w:szCs w:val="32"/>
        </w:rPr>
        <w:t>万元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,离退休人员公用经费0.24万元</w:t>
      </w:r>
      <w:r>
        <w:rPr>
          <w:rFonts w:hint="eastAsia" w:ascii="仿宋_GB2312" w:eastAsia="仿宋_GB2312"/>
          <w:color w:val="auto"/>
          <w:sz w:val="32"/>
          <w:szCs w:val="32"/>
        </w:rPr>
        <w:t>）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。</w:t>
      </w:r>
    </w:p>
    <w:p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备注：机关运行经费指本部门的运行经费，公开口径为一般公共预算基本支出中的商品和服务支出情况。</w:t>
      </w:r>
    </w:p>
    <w:p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（四）年度政府采购支出预算情况</w:t>
      </w:r>
    </w:p>
    <w:p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2021年怀化市</w:t>
      </w:r>
      <w:r>
        <w:rPr>
          <w:rFonts w:hint="eastAsia" w:ascii="仿宋_GB2312" w:eastAsia="仿宋_GB2312"/>
          <w:sz w:val="32"/>
          <w:szCs w:val="32"/>
          <w:lang w:eastAsia="zh-CN"/>
        </w:rPr>
        <w:t>贺家田小学</w:t>
      </w:r>
      <w:r>
        <w:rPr>
          <w:rFonts w:hint="eastAsia" w:ascii="仿宋_GB2312" w:eastAsia="仿宋_GB2312"/>
          <w:sz w:val="32"/>
          <w:szCs w:val="32"/>
        </w:rPr>
        <w:t>政府采购预算总额为0万元。</w:t>
      </w:r>
    </w:p>
    <w:p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（五）国有资产占用情况</w:t>
      </w:r>
    </w:p>
    <w:p>
      <w:pPr>
        <w:widowControl/>
        <w:spacing w:line="500" w:lineRule="auto"/>
        <w:ind w:firstLine="640" w:firstLineChars="200"/>
        <w:jc w:val="left"/>
        <w:rPr>
          <w:rFonts w:hint="eastAsia" w:eastAsia="仿宋_GB2312"/>
          <w:kern w:val="0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1.</w:t>
      </w:r>
      <w:r>
        <w:rPr>
          <w:rFonts w:hint="eastAsia" w:eastAsia="仿宋_GB2312"/>
          <w:bCs/>
          <w:sz w:val="32"/>
          <w:szCs w:val="32"/>
        </w:rPr>
        <w:t>截至2020年12月31日，本部门无车辆，无50万元以上的专用设备。</w:t>
      </w:r>
    </w:p>
    <w:p>
      <w:pPr>
        <w:widowControl/>
        <w:spacing w:line="500" w:lineRule="auto"/>
        <w:ind w:firstLine="640" w:firstLineChars="200"/>
        <w:jc w:val="left"/>
        <w:rPr>
          <w:rFonts w:hint="eastAsia" w:eastAsia="仿宋_GB2312"/>
          <w:b/>
          <w:kern w:val="0"/>
          <w:sz w:val="32"/>
          <w:szCs w:val="32"/>
        </w:rPr>
      </w:pPr>
      <w:r>
        <w:rPr>
          <w:rFonts w:hint="eastAsia" w:eastAsia="仿宋_GB2312"/>
          <w:kern w:val="0"/>
          <w:sz w:val="32"/>
          <w:szCs w:val="32"/>
        </w:rPr>
        <w:t>2.</w:t>
      </w:r>
      <w:r>
        <w:rPr>
          <w:rFonts w:hint="eastAsia" w:eastAsia="仿宋_GB2312"/>
          <w:bCs/>
          <w:sz w:val="32"/>
          <w:szCs w:val="32"/>
        </w:rPr>
        <w:t>截至2021年，本部门无新增车辆，无新增50万元以上的通用设备和专用设备</w:t>
      </w:r>
      <w:r>
        <w:rPr>
          <w:rFonts w:hint="eastAsia" w:eastAsia="仿宋_GB2312"/>
          <w:b/>
          <w:bCs/>
          <w:sz w:val="32"/>
          <w:szCs w:val="32"/>
        </w:rPr>
        <w:t>。</w:t>
      </w:r>
    </w:p>
    <w:p>
      <w:pPr>
        <w:numPr>
          <w:ilvl w:val="0"/>
          <w:numId w:val="2"/>
        </w:num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预算绩效管理情况</w:t>
      </w:r>
    </w:p>
    <w:p>
      <w:pPr>
        <w:widowControl/>
        <w:spacing w:line="500" w:lineRule="auto"/>
        <w:ind w:firstLine="640" w:firstLineChars="20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按照我区预算绩效管理工作的总体要求，2021年我单位整体支出</w:t>
      </w:r>
      <w:r>
        <w:rPr>
          <w:rFonts w:hint="eastAsia" w:eastAsia="仿宋_GB2312"/>
          <w:sz w:val="32"/>
          <w:szCs w:val="32"/>
          <w:lang w:val="en-US" w:eastAsia="zh-CN"/>
        </w:rPr>
        <w:t>288.5</w:t>
      </w:r>
      <w:r>
        <w:rPr>
          <w:rFonts w:hint="eastAsia" w:eastAsia="仿宋_GB2312"/>
          <w:sz w:val="32"/>
          <w:szCs w:val="32"/>
        </w:rPr>
        <w:t>万元，全部实行整体支出绩效目标管理，编报绩效目标的项目1个，涉及项目支出</w:t>
      </w:r>
      <w:r>
        <w:rPr>
          <w:rFonts w:hint="eastAsia" w:eastAsia="仿宋_GB2312"/>
          <w:sz w:val="32"/>
          <w:szCs w:val="32"/>
          <w:lang w:val="en-US" w:eastAsia="zh-CN"/>
        </w:rPr>
        <w:t>28.058</w:t>
      </w:r>
      <w:r>
        <w:rPr>
          <w:rFonts w:hint="eastAsia" w:eastAsia="仿宋_GB2312"/>
          <w:sz w:val="32"/>
          <w:szCs w:val="32"/>
        </w:rPr>
        <w:t>万元，其中专项业务费用类项目1个，共</w:t>
      </w:r>
      <w:r>
        <w:rPr>
          <w:rFonts w:hint="eastAsia" w:eastAsia="仿宋_GB2312"/>
          <w:sz w:val="32"/>
          <w:szCs w:val="32"/>
          <w:lang w:val="en-US" w:eastAsia="zh-CN"/>
        </w:rPr>
        <w:t>0</w:t>
      </w:r>
      <w:r>
        <w:rPr>
          <w:rFonts w:hint="eastAsia" w:eastAsia="仿宋_GB2312"/>
          <w:sz w:val="32"/>
          <w:szCs w:val="32"/>
        </w:rPr>
        <w:t>万元，基本建设类项目0个，共0万元，对个人和家庭补助类项目</w:t>
      </w:r>
      <w:r>
        <w:rPr>
          <w:rFonts w:hint="eastAsia" w:eastAsia="仿宋_GB2312"/>
          <w:sz w:val="32"/>
          <w:szCs w:val="32"/>
          <w:lang w:val="en-US" w:eastAsia="zh-CN"/>
        </w:rPr>
        <w:t>5</w:t>
      </w:r>
      <w:r>
        <w:rPr>
          <w:rFonts w:hint="eastAsia" w:eastAsia="仿宋_GB2312"/>
          <w:sz w:val="32"/>
          <w:szCs w:val="32"/>
        </w:rPr>
        <w:t>个，共</w:t>
      </w:r>
      <w:r>
        <w:rPr>
          <w:rFonts w:hint="eastAsia" w:eastAsia="仿宋_GB2312"/>
          <w:sz w:val="32"/>
          <w:szCs w:val="32"/>
          <w:lang w:val="en-US" w:eastAsia="zh-CN"/>
        </w:rPr>
        <w:t>28.058</w:t>
      </w:r>
      <w:r>
        <w:rPr>
          <w:rFonts w:hint="eastAsia" w:eastAsia="仿宋_GB2312"/>
          <w:sz w:val="32"/>
          <w:szCs w:val="32"/>
        </w:rPr>
        <w:t>万元，产业发展引导类项目0个，共0万元，全部实行项目支出绩效目标管理。</w:t>
      </w:r>
    </w:p>
    <w:p>
      <w:pPr>
        <w:spacing w:line="560" w:lineRule="exact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三、专业名词解释</w:t>
      </w:r>
    </w:p>
    <w:p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、机关运行经费：为保障行政单位（包括参照公务员法管理的事业单位）运行，用一般公共预算拨款安排用于购买货物和服务的各项资金，包括办公及印刷费、邮电费、差旅费、会议费、福利费、日常维修费、办公用房水电费、办公用房取暖费、办公用房物业管理费、公务用车运行维护费以及其他费用。</w:t>
      </w:r>
    </w:p>
    <w:p>
      <w:pPr>
        <w:adjustRightInd w:val="0"/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2．“三公”经费：纳入财政预算管理的“三公“经费， 是指用一般公共预算拨款安排的公务接待费、公务用车购置及运行维护费和因公出国(境)费。其中，公务接待费反映单位按规定开支的各类公务接待支出；公务用车购置及运行费反映单位公务用车车辆购置支出(含车辆购置税)，以及燃料费、维修费、保险费等支出；因公出国(境)费反映单位公务出国(境)费、国外城市间交通费、食宿费等支出。</w:t>
      </w:r>
    </w:p>
    <w:p>
      <w:pPr>
        <w:adjustRightInd w:val="0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3.本部门（单位）的相关专业名词解释。</w:t>
      </w:r>
    </w:p>
    <w:p>
      <w:pPr>
        <w:rPr>
          <w:rFonts w:hint="eastAsia" w:ascii="仿宋_GB2312" w:eastAsia="仿宋_GB2312"/>
          <w:sz w:val="32"/>
          <w:szCs w:val="32"/>
        </w:rPr>
      </w:pPr>
    </w:p>
    <w:sectPr>
      <w:headerReference r:id="rId3" w:type="default"/>
      <w:pgSz w:w="11906" w:h="16838"/>
      <w:pgMar w:top="1440" w:right="1780" w:bottom="1440" w:left="17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left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3"/>
                            <w:rPr>
                              <w:rFonts w:hint="eastAsia"/>
                            </w:rPr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3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left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3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hint="eastAsia"/>
      </w:rPr>
      <w:t>附件3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68E993"/>
    <w:multiLevelType w:val="singleLevel"/>
    <w:tmpl w:val="0068E993"/>
    <w:lvl w:ilvl="0" w:tentative="0">
      <w:start w:val="6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0680035E"/>
    <w:multiLevelType w:val="multilevel"/>
    <w:tmpl w:val="0680035E"/>
    <w:lvl w:ilvl="0" w:tentative="0">
      <w:start w:val="1"/>
      <w:numFmt w:val="decimalEnclosedCircle"/>
      <w:lvlText w:val="%1"/>
      <w:lvlJc w:val="left"/>
      <w:pPr>
        <w:ind w:left="100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80" w:hanging="420"/>
      </w:pPr>
    </w:lvl>
    <w:lvl w:ilvl="2" w:tentative="0">
      <w:start w:val="1"/>
      <w:numFmt w:val="lowerRoman"/>
      <w:lvlText w:val="%3."/>
      <w:lvlJc w:val="right"/>
      <w:pPr>
        <w:ind w:left="1900" w:hanging="420"/>
      </w:pPr>
    </w:lvl>
    <w:lvl w:ilvl="3" w:tentative="0">
      <w:start w:val="1"/>
      <w:numFmt w:val="decimal"/>
      <w:lvlText w:val="%4."/>
      <w:lvlJc w:val="left"/>
      <w:pPr>
        <w:ind w:left="2320" w:hanging="420"/>
      </w:pPr>
    </w:lvl>
    <w:lvl w:ilvl="4" w:tentative="0">
      <w:start w:val="1"/>
      <w:numFmt w:val="lowerLetter"/>
      <w:lvlText w:val="%5)"/>
      <w:lvlJc w:val="left"/>
      <w:pPr>
        <w:ind w:left="2740" w:hanging="420"/>
      </w:pPr>
    </w:lvl>
    <w:lvl w:ilvl="5" w:tentative="0">
      <w:start w:val="1"/>
      <w:numFmt w:val="lowerRoman"/>
      <w:lvlText w:val="%6."/>
      <w:lvlJc w:val="right"/>
      <w:pPr>
        <w:ind w:left="3160" w:hanging="420"/>
      </w:pPr>
    </w:lvl>
    <w:lvl w:ilvl="6" w:tentative="0">
      <w:start w:val="1"/>
      <w:numFmt w:val="decimal"/>
      <w:lvlText w:val="%7."/>
      <w:lvlJc w:val="left"/>
      <w:pPr>
        <w:ind w:left="3580" w:hanging="420"/>
      </w:pPr>
    </w:lvl>
    <w:lvl w:ilvl="7" w:tentative="0">
      <w:start w:val="1"/>
      <w:numFmt w:val="lowerLetter"/>
      <w:lvlText w:val="%8)"/>
      <w:lvlJc w:val="left"/>
      <w:pPr>
        <w:ind w:left="4000" w:hanging="420"/>
      </w:pPr>
    </w:lvl>
    <w:lvl w:ilvl="8" w:tentative="0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HorizontalSpacing w:val="2"/>
  <w:drawingGridVerticalSpacing w:val="3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YzMWQzY2QxZjhlN2Y1Njc5ZGQ0ZmJkOTI3M2NlMTUifQ=="/>
  </w:docVars>
  <w:rsids>
    <w:rsidRoot w:val="00B82401"/>
    <w:rsid w:val="00011517"/>
    <w:rsid w:val="00022D22"/>
    <w:rsid w:val="000249FC"/>
    <w:rsid w:val="00036FC8"/>
    <w:rsid w:val="00040910"/>
    <w:rsid w:val="00043D49"/>
    <w:rsid w:val="00044DFE"/>
    <w:rsid w:val="00051562"/>
    <w:rsid w:val="000542CE"/>
    <w:rsid w:val="00066AA3"/>
    <w:rsid w:val="00067C01"/>
    <w:rsid w:val="00071209"/>
    <w:rsid w:val="000804F7"/>
    <w:rsid w:val="00083897"/>
    <w:rsid w:val="00095DD8"/>
    <w:rsid w:val="000A3651"/>
    <w:rsid w:val="000B6AB0"/>
    <w:rsid w:val="000C020F"/>
    <w:rsid w:val="000C2AD0"/>
    <w:rsid w:val="000C753F"/>
    <w:rsid w:val="000E0B90"/>
    <w:rsid w:val="000F431E"/>
    <w:rsid w:val="000F560A"/>
    <w:rsid w:val="000F7F08"/>
    <w:rsid w:val="00103C9C"/>
    <w:rsid w:val="00106E54"/>
    <w:rsid w:val="001111F9"/>
    <w:rsid w:val="00121855"/>
    <w:rsid w:val="00121892"/>
    <w:rsid w:val="00125871"/>
    <w:rsid w:val="0012792C"/>
    <w:rsid w:val="001350F7"/>
    <w:rsid w:val="00137845"/>
    <w:rsid w:val="0016309A"/>
    <w:rsid w:val="001709BA"/>
    <w:rsid w:val="0017656F"/>
    <w:rsid w:val="00180F5C"/>
    <w:rsid w:val="001821C5"/>
    <w:rsid w:val="00185E2A"/>
    <w:rsid w:val="001917E0"/>
    <w:rsid w:val="00197C3A"/>
    <w:rsid w:val="001A61EB"/>
    <w:rsid w:val="001A7508"/>
    <w:rsid w:val="001B6C0E"/>
    <w:rsid w:val="001C2056"/>
    <w:rsid w:val="001E09BA"/>
    <w:rsid w:val="001E7C7A"/>
    <w:rsid w:val="001F0DD7"/>
    <w:rsid w:val="002041D3"/>
    <w:rsid w:val="00204BF2"/>
    <w:rsid w:val="002115D2"/>
    <w:rsid w:val="002164E9"/>
    <w:rsid w:val="00222048"/>
    <w:rsid w:val="0022734A"/>
    <w:rsid w:val="00231567"/>
    <w:rsid w:val="00231ED0"/>
    <w:rsid w:val="002367A0"/>
    <w:rsid w:val="0024179E"/>
    <w:rsid w:val="002424E5"/>
    <w:rsid w:val="00265018"/>
    <w:rsid w:val="00275E75"/>
    <w:rsid w:val="00280137"/>
    <w:rsid w:val="00287218"/>
    <w:rsid w:val="00287314"/>
    <w:rsid w:val="00290ADB"/>
    <w:rsid w:val="00292BA0"/>
    <w:rsid w:val="00296AFB"/>
    <w:rsid w:val="00297410"/>
    <w:rsid w:val="002B51C4"/>
    <w:rsid w:val="002C3D3F"/>
    <w:rsid w:val="002C736D"/>
    <w:rsid w:val="002D095F"/>
    <w:rsid w:val="002E39C1"/>
    <w:rsid w:val="002E7008"/>
    <w:rsid w:val="002E7CB1"/>
    <w:rsid w:val="002F2745"/>
    <w:rsid w:val="002F4426"/>
    <w:rsid w:val="002F5AE3"/>
    <w:rsid w:val="003029AF"/>
    <w:rsid w:val="00302A7E"/>
    <w:rsid w:val="00304CDA"/>
    <w:rsid w:val="003157B4"/>
    <w:rsid w:val="003162B1"/>
    <w:rsid w:val="0032291B"/>
    <w:rsid w:val="00325FA2"/>
    <w:rsid w:val="00327DE9"/>
    <w:rsid w:val="00352D1E"/>
    <w:rsid w:val="0037153D"/>
    <w:rsid w:val="00373C65"/>
    <w:rsid w:val="00380E17"/>
    <w:rsid w:val="00386F67"/>
    <w:rsid w:val="0038790C"/>
    <w:rsid w:val="0039490C"/>
    <w:rsid w:val="003B6F96"/>
    <w:rsid w:val="003B7A39"/>
    <w:rsid w:val="003E1D32"/>
    <w:rsid w:val="003E6FF1"/>
    <w:rsid w:val="004127D7"/>
    <w:rsid w:val="0041488F"/>
    <w:rsid w:val="004338B1"/>
    <w:rsid w:val="004345FB"/>
    <w:rsid w:val="00440774"/>
    <w:rsid w:val="00442218"/>
    <w:rsid w:val="00450B8B"/>
    <w:rsid w:val="00453CF8"/>
    <w:rsid w:val="00460A53"/>
    <w:rsid w:val="004610EF"/>
    <w:rsid w:val="004673D6"/>
    <w:rsid w:val="004809F6"/>
    <w:rsid w:val="00483A1D"/>
    <w:rsid w:val="0048774D"/>
    <w:rsid w:val="00491E1A"/>
    <w:rsid w:val="004A67AE"/>
    <w:rsid w:val="004B06C5"/>
    <w:rsid w:val="004B2DDC"/>
    <w:rsid w:val="004C3D0A"/>
    <w:rsid w:val="004C76F9"/>
    <w:rsid w:val="004D040B"/>
    <w:rsid w:val="004D547A"/>
    <w:rsid w:val="004F426D"/>
    <w:rsid w:val="004F4BB9"/>
    <w:rsid w:val="005022CC"/>
    <w:rsid w:val="00502F5C"/>
    <w:rsid w:val="005135E1"/>
    <w:rsid w:val="00515EB8"/>
    <w:rsid w:val="005276F4"/>
    <w:rsid w:val="00540736"/>
    <w:rsid w:val="00542C34"/>
    <w:rsid w:val="005479AD"/>
    <w:rsid w:val="00556BF4"/>
    <w:rsid w:val="00563BDF"/>
    <w:rsid w:val="00565839"/>
    <w:rsid w:val="00566F5C"/>
    <w:rsid w:val="0059755C"/>
    <w:rsid w:val="005A3677"/>
    <w:rsid w:val="005A6A17"/>
    <w:rsid w:val="005B4FF1"/>
    <w:rsid w:val="005C10ED"/>
    <w:rsid w:val="005C5EA8"/>
    <w:rsid w:val="005D64C6"/>
    <w:rsid w:val="005E0941"/>
    <w:rsid w:val="005F03EC"/>
    <w:rsid w:val="005F6A83"/>
    <w:rsid w:val="005F7D32"/>
    <w:rsid w:val="00611BA5"/>
    <w:rsid w:val="00615D6B"/>
    <w:rsid w:val="00621DB1"/>
    <w:rsid w:val="006223A9"/>
    <w:rsid w:val="00643199"/>
    <w:rsid w:val="006453F6"/>
    <w:rsid w:val="00645ED1"/>
    <w:rsid w:val="006558DE"/>
    <w:rsid w:val="00657E4F"/>
    <w:rsid w:val="006613E4"/>
    <w:rsid w:val="00663AAE"/>
    <w:rsid w:val="00664EA0"/>
    <w:rsid w:val="006829AB"/>
    <w:rsid w:val="00686092"/>
    <w:rsid w:val="00694864"/>
    <w:rsid w:val="00695026"/>
    <w:rsid w:val="006A12DF"/>
    <w:rsid w:val="006A5822"/>
    <w:rsid w:val="006A6683"/>
    <w:rsid w:val="006B0822"/>
    <w:rsid w:val="006C0975"/>
    <w:rsid w:val="006C3FB9"/>
    <w:rsid w:val="006C4686"/>
    <w:rsid w:val="006E729B"/>
    <w:rsid w:val="006E72D9"/>
    <w:rsid w:val="00703561"/>
    <w:rsid w:val="00714700"/>
    <w:rsid w:val="007165DE"/>
    <w:rsid w:val="00721D59"/>
    <w:rsid w:val="00741CEB"/>
    <w:rsid w:val="0074667C"/>
    <w:rsid w:val="007528C5"/>
    <w:rsid w:val="007558E9"/>
    <w:rsid w:val="00771383"/>
    <w:rsid w:val="00772354"/>
    <w:rsid w:val="007762FA"/>
    <w:rsid w:val="007777BF"/>
    <w:rsid w:val="007846B1"/>
    <w:rsid w:val="00790710"/>
    <w:rsid w:val="0079151B"/>
    <w:rsid w:val="00791F9A"/>
    <w:rsid w:val="007A01E2"/>
    <w:rsid w:val="007A0AD7"/>
    <w:rsid w:val="007A6713"/>
    <w:rsid w:val="007B1F8F"/>
    <w:rsid w:val="007B26B0"/>
    <w:rsid w:val="007C6F07"/>
    <w:rsid w:val="007D7930"/>
    <w:rsid w:val="007D7BAD"/>
    <w:rsid w:val="007E02A6"/>
    <w:rsid w:val="007F69CA"/>
    <w:rsid w:val="00801740"/>
    <w:rsid w:val="00834F8D"/>
    <w:rsid w:val="0084107A"/>
    <w:rsid w:val="008532E3"/>
    <w:rsid w:val="0086587F"/>
    <w:rsid w:val="00866B9A"/>
    <w:rsid w:val="0086719A"/>
    <w:rsid w:val="00873A27"/>
    <w:rsid w:val="00885D46"/>
    <w:rsid w:val="008877C5"/>
    <w:rsid w:val="00890BFC"/>
    <w:rsid w:val="008B1A31"/>
    <w:rsid w:val="008B2E88"/>
    <w:rsid w:val="008C4A32"/>
    <w:rsid w:val="008D0BAF"/>
    <w:rsid w:val="008E26FA"/>
    <w:rsid w:val="008F2515"/>
    <w:rsid w:val="008F6549"/>
    <w:rsid w:val="0090198A"/>
    <w:rsid w:val="00905B1D"/>
    <w:rsid w:val="00910D2A"/>
    <w:rsid w:val="00910F52"/>
    <w:rsid w:val="0091262C"/>
    <w:rsid w:val="00924E32"/>
    <w:rsid w:val="00936603"/>
    <w:rsid w:val="00936EE7"/>
    <w:rsid w:val="009527FD"/>
    <w:rsid w:val="00954034"/>
    <w:rsid w:val="00955F0F"/>
    <w:rsid w:val="00960AE2"/>
    <w:rsid w:val="00962AB8"/>
    <w:rsid w:val="00972841"/>
    <w:rsid w:val="0098130F"/>
    <w:rsid w:val="00982C98"/>
    <w:rsid w:val="009837C3"/>
    <w:rsid w:val="009860BC"/>
    <w:rsid w:val="00990412"/>
    <w:rsid w:val="00990E30"/>
    <w:rsid w:val="00992E0E"/>
    <w:rsid w:val="009A360C"/>
    <w:rsid w:val="009A4FEB"/>
    <w:rsid w:val="009A7C31"/>
    <w:rsid w:val="009C5879"/>
    <w:rsid w:val="009C6B00"/>
    <w:rsid w:val="009D1CD3"/>
    <w:rsid w:val="009F0F5D"/>
    <w:rsid w:val="009F6935"/>
    <w:rsid w:val="00A037DA"/>
    <w:rsid w:val="00A07386"/>
    <w:rsid w:val="00A113EA"/>
    <w:rsid w:val="00A124F9"/>
    <w:rsid w:val="00A13B32"/>
    <w:rsid w:val="00A1757E"/>
    <w:rsid w:val="00A21972"/>
    <w:rsid w:val="00A2291C"/>
    <w:rsid w:val="00A26CB3"/>
    <w:rsid w:val="00A3293A"/>
    <w:rsid w:val="00A436C1"/>
    <w:rsid w:val="00A4514F"/>
    <w:rsid w:val="00A452C7"/>
    <w:rsid w:val="00A45ACF"/>
    <w:rsid w:val="00A461B7"/>
    <w:rsid w:val="00A4714B"/>
    <w:rsid w:val="00A54407"/>
    <w:rsid w:val="00A5625E"/>
    <w:rsid w:val="00A6011A"/>
    <w:rsid w:val="00A72CBC"/>
    <w:rsid w:val="00A81D0F"/>
    <w:rsid w:val="00A87C15"/>
    <w:rsid w:val="00A94092"/>
    <w:rsid w:val="00A951E0"/>
    <w:rsid w:val="00A9606B"/>
    <w:rsid w:val="00AA06FE"/>
    <w:rsid w:val="00AA7E98"/>
    <w:rsid w:val="00AC04CF"/>
    <w:rsid w:val="00AC6E07"/>
    <w:rsid w:val="00AC7D2A"/>
    <w:rsid w:val="00AD0A40"/>
    <w:rsid w:val="00AF4982"/>
    <w:rsid w:val="00B00D24"/>
    <w:rsid w:val="00B1064B"/>
    <w:rsid w:val="00B13185"/>
    <w:rsid w:val="00B167BD"/>
    <w:rsid w:val="00B16C62"/>
    <w:rsid w:val="00B23C8A"/>
    <w:rsid w:val="00B27F20"/>
    <w:rsid w:val="00B31216"/>
    <w:rsid w:val="00B3121A"/>
    <w:rsid w:val="00B3548B"/>
    <w:rsid w:val="00B40F03"/>
    <w:rsid w:val="00B41087"/>
    <w:rsid w:val="00B51180"/>
    <w:rsid w:val="00B57583"/>
    <w:rsid w:val="00B82401"/>
    <w:rsid w:val="00B83D0E"/>
    <w:rsid w:val="00B877C7"/>
    <w:rsid w:val="00B955C1"/>
    <w:rsid w:val="00B969B2"/>
    <w:rsid w:val="00B973DC"/>
    <w:rsid w:val="00B97777"/>
    <w:rsid w:val="00BB1115"/>
    <w:rsid w:val="00BB319B"/>
    <w:rsid w:val="00BB5E80"/>
    <w:rsid w:val="00BB5EFC"/>
    <w:rsid w:val="00BB7434"/>
    <w:rsid w:val="00BC655F"/>
    <w:rsid w:val="00BC6B27"/>
    <w:rsid w:val="00BE659D"/>
    <w:rsid w:val="00C0013A"/>
    <w:rsid w:val="00C01F00"/>
    <w:rsid w:val="00C077F8"/>
    <w:rsid w:val="00C116E4"/>
    <w:rsid w:val="00C136DE"/>
    <w:rsid w:val="00C1385D"/>
    <w:rsid w:val="00C1743E"/>
    <w:rsid w:val="00C255BF"/>
    <w:rsid w:val="00C355A5"/>
    <w:rsid w:val="00C3789E"/>
    <w:rsid w:val="00C42291"/>
    <w:rsid w:val="00C42A5B"/>
    <w:rsid w:val="00C51E1A"/>
    <w:rsid w:val="00C51FC7"/>
    <w:rsid w:val="00C556EA"/>
    <w:rsid w:val="00C564B5"/>
    <w:rsid w:val="00C60A73"/>
    <w:rsid w:val="00C6378A"/>
    <w:rsid w:val="00C67742"/>
    <w:rsid w:val="00C84199"/>
    <w:rsid w:val="00C906A1"/>
    <w:rsid w:val="00C96727"/>
    <w:rsid w:val="00CA34B9"/>
    <w:rsid w:val="00CA4C8A"/>
    <w:rsid w:val="00CA6117"/>
    <w:rsid w:val="00CA64B2"/>
    <w:rsid w:val="00CB71F1"/>
    <w:rsid w:val="00CB7391"/>
    <w:rsid w:val="00CC03D2"/>
    <w:rsid w:val="00CC42F3"/>
    <w:rsid w:val="00CC4E9D"/>
    <w:rsid w:val="00CE2015"/>
    <w:rsid w:val="00CF0028"/>
    <w:rsid w:val="00D074AB"/>
    <w:rsid w:val="00D20B0E"/>
    <w:rsid w:val="00D258F2"/>
    <w:rsid w:val="00D35C30"/>
    <w:rsid w:val="00D37AC4"/>
    <w:rsid w:val="00D4257E"/>
    <w:rsid w:val="00D4446B"/>
    <w:rsid w:val="00D46AE5"/>
    <w:rsid w:val="00D54137"/>
    <w:rsid w:val="00D54161"/>
    <w:rsid w:val="00D6639E"/>
    <w:rsid w:val="00D67BEA"/>
    <w:rsid w:val="00D80E60"/>
    <w:rsid w:val="00D828E6"/>
    <w:rsid w:val="00D87D4F"/>
    <w:rsid w:val="00D95268"/>
    <w:rsid w:val="00DA56CA"/>
    <w:rsid w:val="00DB28C1"/>
    <w:rsid w:val="00DB43E4"/>
    <w:rsid w:val="00DB5AA4"/>
    <w:rsid w:val="00DC55BA"/>
    <w:rsid w:val="00DD23CC"/>
    <w:rsid w:val="00DD44A8"/>
    <w:rsid w:val="00DD50DC"/>
    <w:rsid w:val="00DD6254"/>
    <w:rsid w:val="00DE51ED"/>
    <w:rsid w:val="00DE54DE"/>
    <w:rsid w:val="00DF57B4"/>
    <w:rsid w:val="00E01955"/>
    <w:rsid w:val="00E07DC8"/>
    <w:rsid w:val="00E133E9"/>
    <w:rsid w:val="00E32D4E"/>
    <w:rsid w:val="00E36CD4"/>
    <w:rsid w:val="00E402AB"/>
    <w:rsid w:val="00E45A8C"/>
    <w:rsid w:val="00E46BA0"/>
    <w:rsid w:val="00E56C3E"/>
    <w:rsid w:val="00E6599A"/>
    <w:rsid w:val="00E66489"/>
    <w:rsid w:val="00E72FDE"/>
    <w:rsid w:val="00E73903"/>
    <w:rsid w:val="00E741A3"/>
    <w:rsid w:val="00E7624E"/>
    <w:rsid w:val="00E7764B"/>
    <w:rsid w:val="00E77B53"/>
    <w:rsid w:val="00E854AB"/>
    <w:rsid w:val="00E85CF9"/>
    <w:rsid w:val="00E87DBD"/>
    <w:rsid w:val="00EA383C"/>
    <w:rsid w:val="00EB01B6"/>
    <w:rsid w:val="00ED1762"/>
    <w:rsid w:val="00ED5D44"/>
    <w:rsid w:val="00ED77F6"/>
    <w:rsid w:val="00ED7988"/>
    <w:rsid w:val="00EE4206"/>
    <w:rsid w:val="00EE42BD"/>
    <w:rsid w:val="00EF5BBD"/>
    <w:rsid w:val="00F10343"/>
    <w:rsid w:val="00F14C6A"/>
    <w:rsid w:val="00F24ECC"/>
    <w:rsid w:val="00F268CC"/>
    <w:rsid w:val="00F30D1B"/>
    <w:rsid w:val="00F42BD9"/>
    <w:rsid w:val="00F43ACB"/>
    <w:rsid w:val="00F44CA1"/>
    <w:rsid w:val="00F50B9F"/>
    <w:rsid w:val="00F6490F"/>
    <w:rsid w:val="00F725D2"/>
    <w:rsid w:val="00F76DD9"/>
    <w:rsid w:val="00F77065"/>
    <w:rsid w:val="00F9063B"/>
    <w:rsid w:val="00F97171"/>
    <w:rsid w:val="00FA599D"/>
    <w:rsid w:val="00FA706E"/>
    <w:rsid w:val="00FB6F07"/>
    <w:rsid w:val="00FB6F43"/>
    <w:rsid w:val="00FB7BBE"/>
    <w:rsid w:val="00FC2B37"/>
    <w:rsid w:val="00FC3A87"/>
    <w:rsid w:val="00FC72EF"/>
    <w:rsid w:val="00FE09C6"/>
    <w:rsid w:val="00FE2A78"/>
    <w:rsid w:val="00FE4BD5"/>
    <w:rsid w:val="00FF71B4"/>
    <w:rsid w:val="00FF7AC0"/>
    <w:rsid w:val="028046BB"/>
    <w:rsid w:val="052A2C1F"/>
    <w:rsid w:val="0759298A"/>
    <w:rsid w:val="09C94DCA"/>
    <w:rsid w:val="0B756257"/>
    <w:rsid w:val="0F0E2322"/>
    <w:rsid w:val="0F6864F9"/>
    <w:rsid w:val="138C05E2"/>
    <w:rsid w:val="16C50203"/>
    <w:rsid w:val="17036058"/>
    <w:rsid w:val="1C6D5B9C"/>
    <w:rsid w:val="1D5866E9"/>
    <w:rsid w:val="1DFA1191"/>
    <w:rsid w:val="23F0138E"/>
    <w:rsid w:val="2AA6737B"/>
    <w:rsid w:val="2C111613"/>
    <w:rsid w:val="2DB644B8"/>
    <w:rsid w:val="2EB52A22"/>
    <w:rsid w:val="304935E5"/>
    <w:rsid w:val="30FC50A5"/>
    <w:rsid w:val="318D2A67"/>
    <w:rsid w:val="3576308B"/>
    <w:rsid w:val="36A244DD"/>
    <w:rsid w:val="371C7F6F"/>
    <w:rsid w:val="3834129A"/>
    <w:rsid w:val="38AD4090"/>
    <w:rsid w:val="38B94D72"/>
    <w:rsid w:val="39E2251B"/>
    <w:rsid w:val="3A3D4B67"/>
    <w:rsid w:val="3BEC6842"/>
    <w:rsid w:val="3CF14724"/>
    <w:rsid w:val="4219758C"/>
    <w:rsid w:val="421A5CCB"/>
    <w:rsid w:val="43674344"/>
    <w:rsid w:val="45782F8C"/>
    <w:rsid w:val="4598785C"/>
    <w:rsid w:val="45CD171F"/>
    <w:rsid w:val="45FB2CDC"/>
    <w:rsid w:val="46C31F3C"/>
    <w:rsid w:val="46CD1420"/>
    <w:rsid w:val="46E30695"/>
    <w:rsid w:val="48595BC8"/>
    <w:rsid w:val="4A8F0C79"/>
    <w:rsid w:val="4E271171"/>
    <w:rsid w:val="4E6C1FDE"/>
    <w:rsid w:val="4FC91933"/>
    <w:rsid w:val="513E69F0"/>
    <w:rsid w:val="54522E53"/>
    <w:rsid w:val="57C66E4C"/>
    <w:rsid w:val="58025965"/>
    <w:rsid w:val="5B0B6CF1"/>
    <w:rsid w:val="5B322CBB"/>
    <w:rsid w:val="5DF20F8D"/>
    <w:rsid w:val="5E234873"/>
    <w:rsid w:val="5F105AF7"/>
    <w:rsid w:val="612E3834"/>
    <w:rsid w:val="6386321C"/>
    <w:rsid w:val="643E7AFB"/>
    <w:rsid w:val="649C3C91"/>
    <w:rsid w:val="655A081F"/>
    <w:rsid w:val="66C00BF3"/>
    <w:rsid w:val="6A77570C"/>
    <w:rsid w:val="6F01244D"/>
    <w:rsid w:val="6F0C5EAA"/>
    <w:rsid w:val="70741AD6"/>
    <w:rsid w:val="74903226"/>
    <w:rsid w:val="74E90FC5"/>
    <w:rsid w:val="7576705D"/>
    <w:rsid w:val="76B5072E"/>
    <w:rsid w:val="78C34807"/>
    <w:rsid w:val="7A4A0984"/>
    <w:rsid w:val="7E170EB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FollowedHyperlink"/>
    <w:basedOn w:val="6"/>
    <w:qFormat/>
    <w:uiPriority w:val="0"/>
    <w:rPr>
      <w:color w:val="000000"/>
      <w:sz w:val="18"/>
      <w:szCs w:val="18"/>
      <w:u w:val="none"/>
    </w:rPr>
  </w:style>
  <w:style w:type="character" w:styleId="8">
    <w:name w:val="Hyperlink"/>
    <w:basedOn w:val="6"/>
    <w:qFormat/>
    <w:uiPriority w:val="0"/>
    <w:rPr>
      <w:color w:val="000000"/>
      <w:sz w:val="18"/>
      <w:szCs w:val="1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5</Pages>
  <Words>1738</Words>
  <Characters>1868</Characters>
  <Lines>14</Lines>
  <Paragraphs>4</Paragraphs>
  <TotalTime>1</TotalTime>
  <ScaleCrop>false</ScaleCrop>
  <LinksUpToDate>false</LinksUpToDate>
  <CharactersWithSpaces>1891</CharactersWithSpaces>
  <Application>WPS Office_11.1.0.12156_F1E327BC-269C-435d-A152-05C5408002CA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2018-02-08T07:36:00Z</dcterms:created>
  <dc:creator>Sky123.Org</dc:creator>
  <cp:lastModifiedBy>且歌</cp:lastModifiedBy>
  <cp:lastPrinted>2019-02-19T01:06:00Z</cp:lastPrinted>
  <dcterms:modified xsi:type="dcterms:W3CDTF">2022-08-25T02:59:35Z</dcterms:modified>
  <dc:title>区林业局2013年“中秋”防火值班表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2052-11.1.0.12156</vt:lpwstr>
  </property>
  <property fmtid="{D5CDD505-2E9C-101B-9397-08002B2CF9AE}" pid="3" name="ICV">
    <vt:lpwstr>6BBCB5C63E9144F7AEDBAD8D5FD7A646</vt:lpwstr>
  </property>
</Properties>
</file>